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/>
      </w:pPr>
      <w:r w:rsidDel="00000000" w:rsidR="00000000" w:rsidRPr="00000000">
        <w:rPr>
          <w:b w:val="1"/>
          <w:sz w:val="40"/>
          <w:szCs w:val="40"/>
          <w:rtl w:val="0"/>
        </w:rPr>
        <w:t xml:space="preserve">Synthesis(Generation) of adversarial (image) datasets to prove null hypothesis on DL systems (pick any SOA: OR, FR, Segmentation)</w:t>
      </w:r>
      <w:r w:rsidDel="00000000" w:rsidR="00000000" w:rsidRPr="00000000">
        <w:rPr>
          <w:color w:val="98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sz w:val="29"/>
          <w:szCs w:val="29"/>
          <w:rtl w:val="0"/>
        </w:rPr>
        <w:t xml:space="preserve">Computer Vision (CS6350)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5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TPA-13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tabs>
          <w:tab w:val="left" w:pos="860"/>
        </w:tabs>
        <w:spacing w:line="240" w:lineRule="auto"/>
        <w:ind w:left="720" w:hanging="360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Problem Statement</w:t>
      </w:r>
    </w:p>
    <w:p w:rsidR="00000000" w:rsidDel="00000000" w:rsidP="00000000" w:rsidRDefault="00000000" w:rsidRPr="00000000" w14:paraId="00000008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An adversarial example is a sample of input data which has been modified very slightly in a way that is intended to cause a machine learning classifier to misclassify it. In many cases, these modifications can be so subtle that a human observer does not even notice the modification at all, yet the classifier still makes a mistake. Refer [1] for more details about the concept of Adversarial Attack. In this problem, you are required to create a process/method/deep learning network to create adversarial examples for a state-of-the-art (SOTA) method for Image Classification and/or Object Recognition and/or Face Recognition and/or Image Segmentation. </w:t>
      </w:r>
    </w:p>
    <w:p w:rsidR="00000000" w:rsidDel="00000000" w:rsidP="00000000" w:rsidRDefault="00000000" w:rsidRPr="00000000" w14:paraId="0000000A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Input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SOTA deep learning methods for one or more tasks mention in problem statement (for instance: InceptionV3)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Original Dataset that would be modified for generating adversarial samples </w:t>
      </w:r>
    </w:p>
    <w:p w:rsidR="00000000" w:rsidDel="00000000" w:rsidP="00000000" w:rsidRDefault="00000000" w:rsidRPr="00000000" w14:paraId="0000000E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Expected Output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line="276" w:lineRule="auto"/>
        <w:ind w:left="1440" w:hanging="360"/>
        <w:jc w:val="both"/>
      </w:pPr>
      <w:r w:rsidDel="00000000" w:rsidR="00000000" w:rsidRPr="00000000">
        <w:rPr>
          <w:rtl w:val="0"/>
        </w:rPr>
        <w:t xml:space="preserve">A method/algorithm to generate samples that causes the pretrained SOTA to fail.</w:t>
      </w:r>
    </w:p>
    <w:p w:rsidR="00000000" w:rsidDel="00000000" w:rsidP="00000000" w:rsidRDefault="00000000" w:rsidRPr="00000000" w14:paraId="00000011">
      <w:pPr>
        <w:spacing w:line="276" w:lineRule="auto"/>
        <w:ind w:left="1440" w:firstLine="0"/>
        <w:jc w:val="both"/>
        <w:rPr/>
      </w:pPr>
      <w:r w:rsidDel="00000000" w:rsidR="00000000" w:rsidRPr="00000000">
        <w:rPr>
          <w:rtl w:val="0"/>
        </w:rPr>
        <w:t xml:space="preserve">Please note that the method to generate the samples should be generic such that all samples generated using it cause the pretrained network to fail. </w:t>
      </w:r>
    </w:p>
    <w:p w:rsidR="00000000" w:rsidDel="00000000" w:rsidP="00000000" w:rsidRDefault="00000000" w:rsidRPr="00000000" w14:paraId="00000012">
      <w:pPr>
        <w:spacing w:line="276" w:lineRule="auto"/>
        <w:ind w:left="144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Sample Input/Output</w:t>
      </w:r>
    </w:p>
    <w:p w:rsidR="00000000" w:rsidDel="00000000" w:rsidP="00000000" w:rsidRDefault="00000000" w:rsidRPr="00000000" w14:paraId="00000014">
      <w:pPr>
        <w:spacing w:line="276" w:lineRule="auto"/>
        <w:ind w:left="144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1440" w:firstLine="0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485900" cy="1485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16">
      <w:pPr>
        <w:spacing w:line="276" w:lineRule="auto"/>
        <w:ind w:left="1440" w:firstLine="0"/>
        <w:jc w:val="both"/>
        <w:rPr/>
      </w:pPr>
      <w:r w:rsidDel="00000000" w:rsidR="00000000" w:rsidRPr="00000000">
        <w:rPr>
          <w:rtl w:val="0"/>
        </w:rPr>
        <w:t xml:space="preserve"> Target (Input Image)    </w:t>
      </w:r>
    </w:p>
    <w:p w:rsidR="00000000" w:rsidDel="00000000" w:rsidP="00000000" w:rsidRDefault="00000000" w:rsidRPr="00000000" w14:paraId="00000017">
      <w:pPr>
        <w:spacing w:line="276" w:lineRule="auto"/>
        <w:ind w:left="1440" w:firstLine="0"/>
        <w:jc w:val="both"/>
        <w:rPr/>
      </w:pP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/>
        <w:drawing>
          <wp:inline distB="114300" distT="114300" distL="114300" distR="114300">
            <wp:extent cx="2719388" cy="2269616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9388" cy="22696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Generated Adversarial examples which are realistic but capable of fooling the Deep learning network</w:t>
      </w:r>
    </w:p>
    <w:p w:rsidR="00000000" w:rsidDel="00000000" w:rsidP="00000000" w:rsidRDefault="00000000" w:rsidRPr="00000000" w14:paraId="00000019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76" w:lineRule="auto"/>
        <w:ind w:left="720" w:hanging="360"/>
        <w:jc w:val="both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References</w:t>
      </w:r>
    </w:p>
    <w:p w:rsidR="00000000" w:rsidDel="00000000" w:rsidP="00000000" w:rsidRDefault="00000000" w:rsidRPr="00000000" w14:paraId="0000001E">
      <w:pPr>
        <w:spacing w:line="276" w:lineRule="auto"/>
        <w:ind w:left="720" w:firstLine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[1]. "Adversarial examples in the physical world" by Kurakin, Alexey, Ian Goodfellow, and Samy Bengio,  In  The International Conference on Learning Representations, Workshop, is, 2017.</w:t>
      </w:r>
    </w:p>
    <w:p w:rsidR="00000000" w:rsidDel="00000000" w:rsidP="00000000" w:rsidRDefault="00000000" w:rsidRPr="00000000" w14:paraId="00000020">
      <w:pPr>
        <w:spacing w:line="276" w:lineRule="auto"/>
        <w:ind w:left="63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[2].  "Physically realizable adversarial examples for lidar object detection" by Tu, James, et al. InProceedings of the IEEE/CVF Conference on Computer Vision and Pattern Recognition. 2020.</w:t>
      </w:r>
    </w:p>
    <w:p w:rsidR="00000000" w:rsidDel="00000000" w:rsidP="00000000" w:rsidRDefault="00000000" w:rsidRPr="00000000" w14:paraId="00000022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[3]."Adversarial camouflage: Hiding physical-world attacks with natural styles",  Duan, Ranjie, et al. In Proceedings of the IEEE/CVF conference on computer vision and pattern recognition. 2020.</w:t>
      </w:r>
    </w:p>
    <w:p w:rsidR="00000000" w:rsidDel="00000000" w:rsidP="00000000" w:rsidRDefault="00000000" w:rsidRPr="00000000" w14:paraId="00000024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[4] "Benchmarking adversarial robustness on image classification". Dong, Yinpeng, et al. In Proceedings of the IEEE/CVF Conference on Computer Vision and Pattern Recognition. 2020.</w:t>
      </w:r>
    </w:p>
    <w:p w:rsidR="00000000" w:rsidDel="00000000" w:rsidP="00000000" w:rsidRDefault="00000000" w:rsidRPr="00000000" w14:paraId="00000026">
      <w:pPr>
        <w:spacing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ind w:left="720" w:firstLine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  <w:t xml:space="preserve">[5] </w:t>
      </w:r>
      <w:r w:rsidDel="00000000" w:rsidR="00000000" w:rsidRPr="00000000">
        <w:rPr>
          <w:color w:val="222222"/>
          <w:highlight w:val="white"/>
          <w:rtl w:val="0"/>
        </w:rPr>
        <w:t xml:space="preserve">Wang, Zhibo, et al. "Feature importance-aware transferable adversarial attacks."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Proceedings of the IEEE/CVF International Conference on Computer Vision</w:t>
      </w:r>
      <w:r w:rsidDel="00000000" w:rsidR="00000000" w:rsidRPr="00000000">
        <w:rPr>
          <w:color w:val="222222"/>
          <w:highlight w:val="white"/>
          <w:rtl w:val="0"/>
        </w:rPr>
        <w:t xml:space="preserve">. 2021</w:t>
      </w:r>
    </w:p>
    <w:p w:rsidR="00000000" w:rsidDel="00000000" w:rsidP="00000000" w:rsidRDefault="00000000" w:rsidRPr="00000000" w14:paraId="00000028">
      <w:pPr>
        <w:spacing w:line="276" w:lineRule="auto"/>
        <w:ind w:left="720" w:firstLine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ind w:left="720" w:firstLine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[6] Zhang, Jianping, et al. "Improving Adversarial Transferability via Neuron Attribution-Based Attacks."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Proceedings of the IEEE/CVF Conference on Computer Vision and Pattern Recognition</w:t>
      </w:r>
      <w:r w:rsidDel="00000000" w:rsidR="00000000" w:rsidRPr="00000000">
        <w:rPr>
          <w:color w:val="222222"/>
          <w:highlight w:val="white"/>
          <w:rtl w:val="0"/>
        </w:rPr>
        <w:t xml:space="preserve">. 2022.</w:t>
      </w:r>
    </w:p>
    <w:p w:rsidR="00000000" w:rsidDel="00000000" w:rsidP="00000000" w:rsidRDefault="00000000" w:rsidRPr="00000000" w14:paraId="0000002A">
      <w:pPr>
        <w:spacing w:line="276" w:lineRule="auto"/>
        <w:ind w:left="720" w:firstLine="0"/>
        <w:jc w:val="both"/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[7] Wang, Xiaosen, and Kun He. "Enhancing the transferability of adversarial attacks through variance tuning."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Proceedings of the IEEE/CVF Conference on Computer Vision and Pattern Recognition</w:t>
      </w:r>
      <w:r w:rsidDel="00000000" w:rsidR="00000000" w:rsidRPr="00000000">
        <w:rPr>
          <w:color w:val="222222"/>
          <w:highlight w:val="white"/>
          <w:rtl w:val="0"/>
        </w:rPr>
        <w:t xml:space="preserve">. 2021.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2C">
      <w:pPr>
        <w:spacing w:line="276" w:lineRule="auto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ind w:left="720" w:firstLine="0"/>
        <w:jc w:val="both"/>
        <w:rPr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ind w:left="720" w:firstLine="0"/>
        <w:jc w:val="both"/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Aug, 2022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